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hd w:val="clear" w:color="auto" w:fill="FFFFFF"/>
        <w:spacing w:before="0" w:beforeAutospacing="0" w:after="0" w:afterAutospacing="0" w:line="360" w:lineRule="auto"/>
        <w:ind w:firstLine="480"/>
        <w:jc w:val="center"/>
        <w:rPr>
          <w:rFonts w:hint="eastAsia"/>
          <w:b/>
          <w:sz w:val="21"/>
          <w:szCs w:val="21"/>
        </w:rPr>
      </w:pPr>
      <w:r>
        <w:rPr>
          <w:b/>
          <w:sz w:val="21"/>
          <w:szCs w:val="21"/>
        </w:rPr>
        <w:t>2014二级建造师</w:t>
      </w:r>
      <w:r>
        <w:rPr>
          <w:rFonts w:hint="eastAsia"/>
          <w:b/>
          <w:sz w:val="21"/>
          <w:szCs w:val="21"/>
        </w:rPr>
        <w:t>水利水电</w:t>
      </w:r>
      <w:r>
        <w:rPr>
          <w:b/>
          <w:sz w:val="21"/>
          <w:szCs w:val="21"/>
        </w:rPr>
        <w:t>实务真题答案</w:t>
      </w:r>
    </w:p>
    <w:p>
      <w:pPr>
        <w:pStyle w:val="5"/>
        <w:shd w:val="clear" w:color="auto" w:fill="FFFFFF"/>
        <w:spacing w:before="0" w:beforeAutospacing="0" w:after="0" w:afterAutospacing="0" w:line="360" w:lineRule="auto"/>
        <w:ind w:firstLine="480"/>
        <w:rPr>
          <w:sz w:val="21"/>
          <w:szCs w:val="21"/>
        </w:rPr>
      </w:pPr>
      <w:r>
        <w:rPr>
          <w:sz w:val="21"/>
          <w:szCs w:val="21"/>
        </w:rPr>
        <w:t>【全网首发】2014二级建造</w:t>
      </w:r>
      <w:r>
        <w:rPr>
          <w:rFonts w:hint="eastAsia"/>
          <w:sz w:val="21"/>
          <w:szCs w:val="21"/>
        </w:rPr>
        <w:t>师水利水电</w:t>
      </w:r>
      <w:r>
        <w:rPr>
          <w:sz w:val="21"/>
          <w:szCs w:val="21"/>
        </w:rPr>
        <w:t>实务考试试题及答案，由名师【达江】带领专业</w:t>
      </w:r>
      <w:r>
        <w:fldChar w:fldCharType="begin"/>
      </w:r>
      <w:r>
        <w:instrText xml:space="preserve"> HYPERLINK "http://www.jianshe99.com/jianzao2/" \t "_blank" \o "二级建造师考试" </w:instrText>
      </w:r>
      <w:r>
        <w:fldChar w:fldCharType="separate"/>
      </w:r>
      <w:r>
        <w:rPr>
          <w:color w:val="0000FF"/>
          <w:sz w:val="21"/>
          <w:szCs w:val="21"/>
        </w:rPr>
        <w:t>二级建造师考试</w:t>
      </w:r>
      <w:r>
        <w:rPr>
          <w:color w:val="0000FF"/>
          <w:sz w:val="21"/>
          <w:szCs w:val="21"/>
        </w:rPr>
        <w:fldChar w:fldCharType="end"/>
      </w:r>
      <w:r>
        <w:rPr>
          <w:sz w:val="21"/>
          <w:szCs w:val="21"/>
        </w:rPr>
        <w:t>教研团队完成，是目前网上最权威的答案！</w:t>
      </w:r>
    </w:p>
    <w:p>
      <w:pPr>
        <w:pStyle w:val="5"/>
        <w:shd w:val="clear" w:color="auto" w:fill="FFFFFF"/>
        <w:spacing w:before="0" w:beforeAutospacing="0" w:after="0" w:afterAutospacing="0" w:line="360" w:lineRule="auto"/>
        <w:rPr>
          <w:sz w:val="21"/>
          <w:szCs w:val="21"/>
        </w:rPr>
      </w:pPr>
      <w:r>
        <w:rPr>
          <w:sz w:val="21"/>
          <w:szCs w:val="21"/>
        </w:rPr>
        <w:t>　　【独家】答案及解析由网校老师整理而成，部分网站未经许可擅自转载、抄袭，造成内容有所缺失或错误，请大家以</w:t>
      </w:r>
      <w:r>
        <w:fldChar w:fldCharType="begin"/>
      </w:r>
      <w:r>
        <w:instrText xml:space="preserve"> HYPERLINK "http://www.jianshe99.com" \t "_blank" \o "建设工程教育网" </w:instrText>
      </w:r>
      <w:r>
        <w:fldChar w:fldCharType="separate"/>
      </w:r>
      <w:r>
        <w:rPr>
          <w:color w:val="0000FF"/>
          <w:sz w:val="21"/>
          <w:szCs w:val="21"/>
        </w:rPr>
        <w:t>建设工程教育网</w:t>
      </w:r>
      <w:r>
        <w:rPr>
          <w:color w:val="0000FF"/>
          <w:sz w:val="21"/>
          <w:szCs w:val="21"/>
        </w:rPr>
        <w:fldChar w:fldCharType="end"/>
      </w:r>
      <w:r>
        <w:rPr>
          <w:sz w:val="21"/>
          <w:szCs w:val="21"/>
        </w:rPr>
        <w:t>发布为准！</w:t>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705475" cy="5191125"/>
            <wp:effectExtent l="19050" t="0" r="9525" b="0"/>
            <wp:docPr id="64" name="图片 64" descr="2014二级建造师水利水电工程实务答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14二级建造师水利水电工程实务答案1-2"/>
                    <pic:cNvPicPr>
                      <a:picLocks noChangeAspect="1" noChangeArrowheads="1"/>
                    </pic:cNvPicPr>
                  </pic:nvPicPr>
                  <pic:blipFill>
                    <a:blip r:embed="rId10" cstate="print"/>
                    <a:srcRect/>
                    <a:stretch>
                      <a:fillRect/>
                    </a:stretch>
                  </pic:blipFill>
                  <pic:spPr>
                    <a:xfrm>
                      <a:off x="0" y="0"/>
                      <a:ext cx="5705475" cy="51911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695950" cy="4543425"/>
            <wp:effectExtent l="19050" t="0" r="0" b="0"/>
            <wp:docPr id="65" name="图片 65" descr="2014二级建造师水利水电工程实务答案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2014二级建造师水利水电工程实务答案3-4"/>
                    <pic:cNvPicPr>
                      <a:picLocks noChangeAspect="1" noChangeArrowheads="1"/>
                    </pic:cNvPicPr>
                  </pic:nvPicPr>
                  <pic:blipFill>
                    <a:blip r:embed="rId11" cstate="print"/>
                    <a:srcRect/>
                    <a:stretch>
                      <a:fillRect/>
                    </a:stretch>
                  </pic:blipFill>
                  <pic:spPr>
                    <a:xfrm>
                      <a:off x="0" y="0"/>
                      <a:ext cx="5695950" cy="45434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5．围堰出现管涌险情时，宜采用（　）抢护。</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A．塞堵法</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B．盖堵法</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C．砂石反滤围井法</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D．戗堤法</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FF0000"/>
          <w:sz w:val="21"/>
          <w:szCs w:val="21"/>
        </w:rPr>
        <w:t>【标准答案-建设工程</w:t>
      </w:r>
      <w:r>
        <w:fldChar w:fldCharType="begin"/>
      </w:r>
      <w:r>
        <w:instrText xml:space="preserve"> HYPERLINK "http://www.jianshe99.com/wangxiao/" \t "_blank" \o "教育" </w:instrText>
      </w:r>
      <w:r>
        <w:fldChar w:fldCharType="separate"/>
      </w:r>
      <w:r>
        <w:rPr>
          <w:rStyle w:val="8"/>
          <w:rFonts w:ascii="宋体" w:hAnsi="宋体"/>
          <w:color w:val="551A8B"/>
          <w:sz w:val="21"/>
          <w:szCs w:val="21"/>
        </w:rPr>
        <w:t>教育</w:t>
      </w:r>
      <w:r>
        <w:rPr>
          <w:rStyle w:val="8"/>
          <w:rFonts w:ascii="宋体" w:hAnsi="宋体"/>
          <w:color w:val="551A8B"/>
          <w:sz w:val="21"/>
          <w:szCs w:val="21"/>
        </w:rPr>
        <w:fldChar w:fldCharType="end"/>
      </w:r>
      <w:r>
        <w:rPr>
          <w:rFonts w:ascii="宋体" w:hAnsi="宋体"/>
          <w:color w:val="FF0000"/>
          <w:sz w:val="21"/>
          <w:szCs w:val="21"/>
        </w:rPr>
        <w:t>网】</w:t>
      </w:r>
      <w:r>
        <w:rPr>
          <w:rFonts w:ascii="宋体" w:hAnsi="宋体"/>
          <w:color w:val="000000"/>
          <w:sz w:val="21"/>
          <w:szCs w:val="21"/>
        </w:rPr>
        <w:t>C</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【建设工程教育网-名师解析】</w:t>
      </w:r>
      <w:r>
        <w:rPr>
          <w:rFonts w:ascii="宋体" w:hAnsi="宋体"/>
          <w:color w:val="000000"/>
          <w:sz w:val="21"/>
          <w:szCs w:val="21"/>
        </w:rPr>
        <w:t>管涌的抢护方法包括砂石反滤围井、土工织物反滤围井、梢料反滤围井。参见教材P58-59.</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考后点评】此题考查的是汛期施工险情判断与抢险技术。网校2014年基础班练习中心第一章第二节单选第1题、习题班练习中心第一章第二节单选第3、9题与此题考点相同。网校2014年基础班有讲解到该考点。</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欢迎到建设工程教育网论坛（bbs.jianshe99.com），和数十万考生一起交流，争辩讨论不容错过！</w:t>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705475" cy="4638675"/>
            <wp:effectExtent l="19050" t="0" r="9525" b="0"/>
            <wp:docPr id="66" name="图片 66" descr="2014二级建造师水利水电工程实务答案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014二级建造师水利水电工程实务答案6-7"/>
                    <pic:cNvPicPr>
                      <a:picLocks noChangeAspect="1" noChangeArrowheads="1"/>
                    </pic:cNvPicPr>
                  </pic:nvPicPr>
                  <pic:blipFill>
                    <a:blip r:embed="rId12" cstate="print"/>
                    <a:srcRect/>
                    <a:stretch>
                      <a:fillRect/>
                    </a:stretch>
                  </pic:blipFill>
                  <pic:spPr>
                    <a:xfrm>
                      <a:off x="0" y="0"/>
                      <a:ext cx="5705475" cy="46386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695950" cy="5095875"/>
            <wp:effectExtent l="19050" t="0" r="0" b="0"/>
            <wp:docPr id="67" name="图片 67" descr="2014二级建造师水利水电工程实务答案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014二级建造师水利水电工程实务答案8-9"/>
                    <pic:cNvPicPr>
                      <a:picLocks noChangeAspect="1" noChangeArrowheads="1"/>
                    </pic:cNvPicPr>
                  </pic:nvPicPr>
                  <pic:blipFill>
                    <a:blip r:embed="rId13" cstate="print"/>
                    <a:srcRect/>
                    <a:stretch>
                      <a:fillRect/>
                    </a:stretch>
                  </pic:blipFill>
                  <pic:spPr>
                    <a:xfrm>
                      <a:off x="0" y="0"/>
                      <a:ext cx="5695950" cy="50958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551A8B"/>
          <w:sz w:val="21"/>
          <w:szCs w:val="21"/>
        </w:rPr>
        <w:drawing>
          <wp:inline distT="0" distB="0" distL="0" distR="0">
            <wp:extent cx="5686425" cy="5314950"/>
            <wp:effectExtent l="19050" t="0" r="9525" b="0"/>
            <wp:docPr id="72" name="图片 72" descr="【名师解析】2014二级建造师水利水电工程实务答案（第10-11题）">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名师解析】2014二级建造师水利水电工程实务答案（第10-11题）"/>
                    <pic:cNvPicPr>
                      <a:picLocks noChangeAspect="1" noChangeArrowheads="1"/>
                    </pic:cNvPicPr>
                  </pic:nvPicPr>
                  <pic:blipFill>
                    <a:blip r:embed="rId15" cstate="print"/>
                    <a:srcRect/>
                    <a:stretch>
                      <a:fillRect/>
                    </a:stretch>
                  </pic:blipFill>
                  <pic:spPr>
                    <a:xfrm>
                      <a:off x="0" y="0"/>
                      <a:ext cx="5686425" cy="53149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695950" cy="5133975"/>
            <wp:effectExtent l="19050" t="0" r="0" b="0"/>
            <wp:docPr id="73" name="图片 73" descr="【名师解析】2014二级建造师水利水电工程实务答案（第12-13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名师解析】2014二级建造师水利水电工程实务答案（第12-13题）"/>
                    <pic:cNvPicPr>
                      <a:picLocks noChangeAspect="1" noChangeArrowheads="1"/>
                    </pic:cNvPicPr>
                  </pic:nvPicPr>
                  <pic:blipFill>
                    <a:blip r:embed="rId16" cstate="print"/>
                    <a:srcRect/>
                    <a:stretch>
                      <a:fillRect/>
                    </a:stretch>
                  </pic:blipFill>
                  <pic:spPr>
                    <a:xfrm>
                      <a:off x="0" y="0"/>
                      <a:ext cx="5695950" cy="51339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14．根据《关于贯彻质量发展纲要、提升水利工程质量的实施意见》（水建管[2012]581号），到2015年，大中型水利工程项目一次验收合格率至少应达到（　）。</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A．90%</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B．95%</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C．98%</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D．100%</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FF0000"/>
          <w:sz w:val="21"/>
          <w:szCs w:val="21"/>
        </w:rPr>
        <w:t>　【标准答案-建设工程教育网】</w:t>
      </w:r>
      <w:r>
        <w:rPr>
          <w:rFonts w:ascii="宋体" w:hAnsi="宋体"/>
          <w:color w:val="000000"/>
          <w:sz w:val="21"/>
          <w:szCs w:val="21"/>
        </w:rPr>
        <w:t>D</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【建设工程教育网-名师解析】</w:t>
      </w:r>
      <w:r>
        <w:rPr>
          <w:rFonts w:ascii="宋体" w:hAnsi="宋体"/>
          <w:color w:val="000000"/>
          <w:sz w:val="21"/>
          <w:szCs w:val="21"/>
        </w:rPr>
        <w:t>水利工程建设总体质量工作目标，大中型水利工程项目一次验收合格率达100%，其他水利工程项目一次验收合格率达98%以上。参见教材P185.</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【建设工程教育网-考后点评】此题考查的是水利工程项目法人质量管理的内容。网校2014年精品实验班模拟试题三单选12与此题考点相同。网校2014年基础班有讲解到该考点。</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欢迎到建设工程教育网论坛（bbs.jianshe99.com），和数十万考生一起交流，争辩讨论不容错过！</w:t>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705475" cy="5686425"/>
            <wp:effectExtent l="19050" t="0" r="9525" b="0"/>
            <wp:docPr id="74" name="图片 74" descr="【名师解析】2014二级建造师水利水电工程实务答案（第15-16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名师解析】2014二级建造师水利水电工程实务答案（第15-16题）"/>
                    <pic:cNvPicPr>
                      <a:picLocks noChangeAspect="1" noChangeArrowheads="1"/>
                    </pic:cNvPicPr>
                  </pic:nvPicPr>
                  <pic:blipFill>
                    <a:blip r:embed="rId17" cstate="print"/>
                    <a:srcRect/>
                    <a:stretch>
                      <a:fillRect/>
                    </a:stretch>
                  </pic:blipFill>
                  <pic:spPr>
                    <a:xfrm>
                      <a:off x="0" y="0"/>
                      <a:ext cx="5705475" cy="56864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17．根据《水利水电工程施工企业主要负责人、项目负责人和专职安全生产管理人员安全生产考核管理办法》（水安监[2011]374号），在安全生产管理三类人员考核合格证书的每一个有效期内，安全生产</w:t>
      </w:r>
      <w:r>
        <w:fldChar w:fldCharType="begin"/>
      </w:r>
      <w:r>
        <w:instrText xml:space="preserve"> HYPERLINK "http://www.jianshe99.com/asp/wangxiao/jijiao/jijiao.htm" \t "_blank" \o "继续教育" </w:instrText>
      </w:r>
      <w:r>
        <w:fldChar w:fldCharType="separate"/>
      </w:r>
      <w:r>
        <w:rPr>
          <w:rStyle w:val="8"/>
          <w:rFonts w:ascii="宋体" w:hAnsi="宋体"/>
          <w:color w:val="551A8B"/>
          <w:sz w:val="21"/>
          <w:szCs w:val="21"/>
        </w:rPr>
        <w:t>继续教育</w:t>
      </w:r>
      <w:r>
        <w:rPr>
          <w:rStyle w:val="8"/>
          <w:rFonts w:ascii="宋体" w:hAnsi="宋体"/>
          <w:color w:val="551A8B"/>
          <w:sz w:val="21"/>
          <w:szCs w:val="21"/>
        </w:rPr>
        <w:fldChar w:fldCharType="end"/>
      </w:r>
      <w:r>
        <w:rPr>
          <w:rFonts w:ascii="宋体" w:hAnsi="宋体"/>
          <w:color w:val="000000"/>
          <w:sz w:val="21"/>
          <w:szCs w:val="21"/>
        </w:rPr>
        <w:t>不低于（　）个学时。</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A．4</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B．8</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C．12</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D．16</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FF0000"/>
          <w:sz w:val="21"/>
          <w:szCs w:val="21"/>
        </w:rPr>
        <w:t>【标准答案-建设工程教育网】</w:t>
      </w:r>
      <w:r>
        <w:rPr>
          <w:rFonts w:ascii="宋体" w:hAnsi="宋体"/>
          <w:color w:val="000000"/>
          <w:sz w:val="21"/>
          <w:szCs w:val="21"/>
        </w:rPr>
        <w:t>B</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【建设工程教育网-名师解析】</w:t>
      </w:r>
      <w:r>
        <w:rPr>
          <w:rFonts w:ascii="宋体" w:hAnsi="宋体"/>
          <w:color w:val="000000"/>
          <w:sz w:val="21"/>
          <w:szCs w:val="21"/>
        </w:rPr>
        <w:t>安全生产管理三类人员在考核合格证书的每一个有效期内，应当至少参加一次由原发证机关组织的、不低于8个学时的安全生产继续教育。参见教材P230.</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【建设工程教育网-考后点评】此题考查的是施工单位管理人员安全生产考核。网校2014年精品实验班模拟试卷一单选第17题与此题考点相同。网校2014年基础班有讲解到该考点。</w:t>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705475" cy="4981575"/>
            <wp:effectExtent l="19050" t="0" r="9525" b="0"/>
            <wp:docPr id="78" name="图片 78" descr="【名师解析】2014二级建造师水利水电工程实务答案（第18-19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名师解析】2014二级建造师水利水电工程实务答案（第18-19题）"/>
                    <pic:cNvPicPr>
                      <a:picLocks noChangeAspect="1" noChangeArrowheads="1"/>
                    </pic:cNvPicPr>
                  </pic:nvPicPr>
                  <pic:blipFill>
                    <a:blip r:embed="rId18" cstate="print"/>
                    <a:srcRect/>
                    <a:stretch>
                      <a:fillRect/>
                    </a:stretch>
                  </pic:blipFill>
                  <pic:spPr>
                    <a:xfrm>
                      <a:off x="0" y="0"/>
                      <a:ext cx="5705475" cy="498157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686425" cy="4933950"/>
            <wp:effectExtent l="19050" t="0" r="9525" b="0"/>
            <wp:docPr id="79" name="图片 79" descr="【名师解析】2014二级建造师水利水电工程实务答案（第20-21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名师解析】2014二级建造师水利水电工程实务答案（第20-21题）"/>
                    <pic:cNvPicPr>
                      <a:picLocks noChangeAspect="1" noChangeArrowheads="1"/>
                    </pic:cNvPicPr>
                  </pic:nvPicPr>
                  <pic:blipFill>
                    <a:blip r:embed="rId19" cstate="print"/>
                    <a:srcRect/>
                    <a:stretch>
                      <a:fillRect/>
                    </a:stretch>
                  </pic:blipFill>
                  <pic:spPr>
                    <a:xfrm>
                      <a:off x="0" y="0"/>
                      <a:ext cx="5686425" cy="4933950"/>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22．水泥灌浆工程中，如采用水泥基混合浆液，其渗合料可选用（）等。</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A．砂</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B．黏 性土</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C．粉煤灰</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D．石灰</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E．水玻璃</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FF0000"/>
          <w:sz w:val="21"/>
          <w:szCs w:val="21"/>
        </w:rPr>
        <w:t>【标准答案-建设工程</w:t>
      </w:r>
      <w:r>
        <w:fldChar w:fldCharType="begin"/>
      </w:r>
      <w:r>
        <w:instrText xml:space="preserve"> HYPERLINK "http://www.jianshe99.com/wangxiao/" \t "_blank" \o "教育" </w:instrText>
      </w:r>
      <w:r>
        <w:fldChar w:fldCharType="separate"/>
      </w:r>
      <w:r>
        <w:rPr>
          <w:rStyle w:val="8"/>
          <w:rFonts w:ascii="宋体" w:hAnsi="宋体"/>
          <w:color w:val="551A8B"/>
          <w:sz w:val="21"/>
          <w:szCs w:val="21"/>
        </w:rPr>
        <w:t>教育</w:t>
      </w:r>
      <w:r>
        <w:rPr>
          <w:rStyle w:val="8"/>
          <w:rFonts w:ascii="宋体" w:hAnsi="宋体"/>
          <w:color w:val="551A8B"/>
          <w:sz w:val="21"/>
          <w:szCs w:val="21"/>
        </w:rPr>
        <w:fldChar w:fldCharType="end"/>
      </w:r>
      <w:r>
        <w:rPr>
          <w:rFonts w:ascii="宋体" w:hAnsi="宋体"/>
          <w:color w:val="FF0000"/>
          <w:sz w:val="21"/>
          <w:szCs w:val="21"/>
        </w:rPr>
        <w:t>网】</w:t>
      </w:r>
      <w:r>
        <w:rPr>
          <w:rFonts w:ascii="宋体" w:hAnsi="宋体"/>
          <w:color w:val="000000"/>
          <w:sz w:val="21"/>
          <w:szCs w:val="21"/>
        </w:rPr>
        <w:t>ABC</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【建设工程教育网-名师解析】</w:t>
      </w:r>
      <w:r>
        <w:rPr>
          <w:rFonts w:ascii="宋体" w:hAnsi="宋体"/>
          <w:color w:val="000000"/>
          <w:sz w:val="21"/>
          <w:szCs w:val="21"/>
        </w:rPr>
        <w:t>水泥基混合浆液：系指掺有掺合料的水泥浆液，包括黏土水泥浆、粉煤灰水泥浆、水泥砂浆等。参见教材P42.</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【建设工程教育网-考后点评】此题考查的是灌浆所用水泥的技术要求，网校2014年模考点评班模拟试题（二）单选第6题与此题考点相同。该知识点的题目基础班、习题班都有体现。</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欢迎到建设工程教育网论坛（bbs.jianshe99.com），和数十万考生一起交流，争辩讨论不容错过！</w:t>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695950" cy="5076825"/>
            <wp:effectExtent l="19050" t="0" r="0" b="0"/>
            <wp:docPr id="80" name="图片 80" descr="【名师解析】2014二级建造师水利水电工程实务答案（第20-21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名师解析】2014二级建造师水利水电工程实务答案（第20-21题）"/>
                    <pic:cNvPicPr>
                      <a:picLocks noChangeAspect="1" noChangeArrowheads="1"/>
                    </pic:cNvPicPr>
                  </pic:nvPicPr>
                  <pic:blipFill>
                    <a:blip r:embed="rId20" cstate="print"/>
                    <a:srcRect/>
                    <a:stretch>
                      <a:fillRect/>
                    </a:stretch>
                  </pic:blipFill>
                  <pic:spPr>
                    <a:xfrm>
                      <a:off x="0" y="0"/>
                      <a:ext cx="5695950" cy="50768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705475" cy="5343525"/>
            <wp:effectExtent l="19050" t="0" r="9525" b="0"/>
            <wp:docPr id="84" name="图片 84" descr="【名师解析】2014二级建造师水利水电工程实务答案（第25-26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名师解析】2014二级建造师水利水电工程实务答案（第25-26题）"/>
                    <pic:cNvPicPr>
                      <a:picLocks noChangeAspect="1" noChangeArrowheads="1"/>
                    </pic:cNvPicPr>
                  </pic:nvPicPr>
                  <pic:blipFill>
                    <a:blip r:embed="rId21" cstate="print"/>
                    <a:srcRect/>
                    <a:stretch>
                      <a:fillRect/>
                    </a:stretch>
                  </pic:blipFill>
                  <pic:spPr>
                    <a:xfrm>
                      <a:off x="0" y="0"/>
                      <a:ext cx="5705475" cy="53435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27．根据《关于贯彻落实&lt;国务院关于坚持科学发展安全发展促进安全生产形势持续稳定好转的意见]&gt; ，进一步加强水利安全生产工作的实施意见》（水安监【2012】57号），水利安全生产“三项建设”包括（）。</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A．法制体制机制</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B．保障能力</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C．监管队伍</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D．应急队伍</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E．</w:t>
      </w:r>
      <w:r>
        <w:fldChar w:fldCharType="begin"/>
      </w:r>
      <w:r>
        <w:instrText xml:space="preserve"> HYPERLINK "http://www.jianshe99.com/wangxiao/" \t "_blank" \o "教育" </w:instrText>
      </w:r>
      <w:r>
        <w:fldChar w:fldCharType="separate"/>
      </w:r>
      <w:r>
        <w:rPr>
          <w:rStyle w:val="8"/>
          <w:rFonts w:ascii="宋体" w:hAnsi="宋体"/>
          <w:color w:val="551A8B"/>
          <w:sz w:val="21"/>
          <w:szCs w:val="21"/>
        </w:rPr>
        <w:t>教育</w:t>
      </w:r>
      <w:r>
        <w:rPr>
          <w:rStyle w:val="8"/>
          <w:rFonts w:ascii="宋体" w:hAnsi="宋体"/>
          <w:color w:val="551A8B"/>
          <w:sz w:val="21"/>
          <w:szCs w:val="21"/>
        </w:rPr>
        <w:fldChar w:fldCharType="end"/>
      </w:r>
      <w:r>
        <w:rPr>
          <w:rFonts w:ascii="宋体" w:hAnsi="宋体"/>
          <w:color w:val="000000"/>
          <w:sz w:val="21"/>
          <w:szCs w:val="21"/>
        </w:rPr>
        <w:t>培训机制</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FF0000"/>
          <w:sz w:val="21"/>
          <w:szCs w:val="21"/>
        </w:rPr>
        <w:t>　【标准答案-建设工程教育网】</w:t>
      </w:r>
      <w:r>
        <w:rPr>
          <w:rFonts w:ascii="宋体" w:hAnsi="宋体"/>
          <w:color w:val="000000"/>
          <w:sz w:val="21"/>
          <w:szCs w:val="21"/>
        </w:rPr>
        <w:t>ABC</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【建设工程教育网-名师解析】</w:t>
      </w:r>
      <w:r>
        <w:rPr>
          <w:rFonts w:ascii="宋体" w:hAnsi="宋体"/>
          <w:color w:val="000000"/>
          <w:sz w:val="21"/>
          <w:szCs w:val="21"/>
        </w:rPr>
        <w:t>三项建设：法制体制机制、保障能力、监管队伍。参见教材P212.</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【建设工程教育网-考后点评】此题考查的是项目法人的安全责任，网校2014年基础班涉及该知识点。该知识点的题目习题班、模考班都有体现。</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欢迎到建设工程教育网论坛（bbs.jianshe99.com），和数十万考生一起交流，争辩讨论不容错过！</w:t>
      </w:r>
    </w:p>
    <w:p>
      <w:pPr>
        <w:pStyle w:val="5"/>
        <w:shd w:val="clear" w:color="auto" w:fill="FFFFFF"/>
        <w:spacing w:before="0" w:beforeAutospacing="0" w:after="0" w:afterAutospacing="0" w:line="390" w:lineRule="atLeast"/>
        <w:rPr>
          <w:rFonts w:ascii="宋体" w:hAnsi="宋体"/>
          <w:color w:val="000000"/>
          <w:sz w:val="21"/>
          <w:szCs w:val="21"/>
        </w:rPr>
      </w:pPr>
      <w:r>
        <w:rPr>
          <w:rFonts w:hint="eastAsia" w:ascii="宋体" w:hAnsi="宋体"/>
          <w:color w:val="000000"/>
          <w:sz w:val="21"/>
          <w:szCs w:val="21"/>
        </w:rPr>
        <w:drawing>
          <wp:inline distT="0" distB="0" distL="0" distR="0">
            <wp:extent cx="5705475" cy="5915025"/>
            <wp:effectExtent l="19050" t="0" r="9525" b="0"/>
            <wp:docPr id="85" name="图片 85" descr="【名师解析】2014二级建造师水利水电工程实务答案（第28-29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名师解析】2014二级建造师水利水电工程实务答案（第28-29题）"/>
                    <pic:cNvPicPr>
                      <a:picLocks noChangeAspect="1" noChangeArrowheads="1"/>
                    </pic:cNvPicPr>
                  </pic:nvPicPr>
                  <pic:blipFill>
                    <a:blip r:embed="rId22" cstate="print"/>
                    <a:srcRect/>
                    <a:stretch>
                      <a:fillRect/>
                    </a:stretch>
                  </pic:blipFill>
                  <pic:spPr>
                    <a:xfrm>
                      <a:off x="0" y="0"/>
                      <a:ext cx="5705475" cy="5915025"/>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30．根据《关于加强小型病险水库除险加固项目验收管理的指导意见》（水建管【2013】178号），小型病险水库除险加固项目法人验收包括（）验收。</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A．分部工程</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B．分项工程</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C．单位工程</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D．蓄水</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E．合同工程完工</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FF0000"/>
          <w:sz w:val="21"/>
          <w:szCs w:val="21"/>
        </w:rPr>
        <w:t>【标准答案-建设工程教育网】</w:t>
      </w:r>
      <w:r>
        <w:rPr>
          <w:rFonts w:ascii="宋体" w:hAnsi="宋体"/>
          <w:color w:val="000000"/>
          <w:sz w:val="21"/>
          <w:szCs w:val="21"/>
        </w:rPr>
        <w:t>AC</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　【建设工程教育网-名师解析】</w:t>
      </w:r>
      <w:r>
        <w:rPr>
          <w:rFonts w:ascii="宋体" w:hAnsi="宋体"/>
          <w:color w:val="000000"/>
          <w:sz w:val="21"/>
          <w:szCs w:val="21"/>
        </w:rPr>
        <w:t>法人验收包括分部工程验收和单位工程验收。参见教材P256.</w:t>
      </w:r>
    </w:p>
    <w:p>
      <w:pPr>
        <w:pStyle w:val="5"/>
        <w:shd w:val="clear" w:color="auto" w:fill="FFFFFF"/>
        <w:spacing w:before="0" w:beforeAutospacing="0" w:after="0" w:afterAutospacing="0" w:line="390" w:lineRule="atLeast"/>
        <w:rPr>
          <w:rFonts w:ascii="宋体" w:hAnsi="宋体"/>
          <w:color w:val="000000"/>
          <w:sz w:val="21"/>
          <w:szCs w:val="21"/>
        </w:rPr>
      </w:pPr>
      <w:r>
        <w:rPr>
          <w:rFonts w:ascii="宋体" w:hAnsi="宋体"/>
          <w:color w:val="000000"/>
          <w:sz w:val="21"/>
          <w:szCs w:val="21"/>
        </w:rPr>
        <w:t>　</w:t>
      </w:r>
      <w:r>
        <w:rPr>
          <w:rFonts w:ascii="宋体" w:hAnsi="宋体"/>
          <w:color w:val="0000FF"/>
          <w:sz w:val="21"/>
          <w:szCs w:val="21"/>
        </w:rPr>
        <w:t>　【建设工程教育网-考后点评】此题考查的是小型病险水库加固项目验收的要求，网校2014年基础班涉及此考点。该知识点的题目习题班、模考班都有体现。</w:t>
      </w:r>
    </w:p>
    <w:p>
      <w:pPr>
        <w:pStyle w:val="5"/>
        <w:shd w:val="clear" w:color="auto" w:fill="FFFFFF"/>
        <w:spacing w:before="0" w:beforeAutospacing="0" w:after="0" w:afterAutospacing="0" w:line="360" w:lineRule="auto"/>
        <w:rPr>
          <w:sz w:val="21"/>
          <w:szCs w:val="21"/>
        </w:rPr>
      </w:pP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sz w:val="21"/>
        <w:szCs w:val="21"/>
      </w:rPr>
    </w:pPr>
  </w:p>
  <w:p>
    <w:pPr>
      <w:pStyle w:val="3"/>
      <w:rPr>
        <w:color w:val="000000" w:themeColor="text1"/>
        <w:sz w:val="21"/>
        <w:szCs w:val="21"/>
      </w:rPr>
    </w:pPr>
    <w:r>
      <w:rPr>
        <w:rFonts w:hint="eastAsia"/>
        <w:color w:val="000000" w:themeColor="text1"/>
        <w:sz w:val="21"/>
        <w:szCs w:val="21"/>
      </w:rPr>
      <w:t xml:space="preserve">报名咨询电话：010-82326699　   　免费热线：400 810 5999     </w:t>
    </w:r>
  </w:p>
  <w:p>
    <w:pPr>
      <w:pStyle w:val="3"/>
      <w:rPr>
        <w:color w:val="000000" w:themeColor="text1"/>
        <w:sz w:val="21"/>
        <w:szCs w:val="21"/>
      </w:rPr>
    </w:pPr>
    <w:r>
      <w:rPr>
        <w:rFonts w:hint="eastAsia"/>
        <w:color w:val="000000" w:themeColor="text1"/>
        <w:sz w:val="21"/>
        <w:szCs w:val="21"/>
      </w:rPr>
      <w:t>了解更多考试动态，复习资料，历年真题等相关信息，关注二建官方微信：</w:t>
    </w:r>
    <w:r>
      <w:rPr>
        <w:rFonts w:hint="eastAsia"/>
        <w:b/>
        <w:color w:val="FF0000"/>
        <w:sz w:val="21"/>
        <w:szCs w:val="21"/>
      </w:rPr>
      <w:t>jianzao2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pPr>
    <w:r>
      <w:drawing>
        <wp:inline distT="0" distB="0" distL="0" distR="0">
          <wp:extent cx="1905000" cy="495300"/>
          <wp:effectExtent l="19050" t="0" r="0" b="0"/>
          <wp:docPr id="1" name="图片 0" descr="logo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logo标.png"/>
                  <pic:cNvPicPr>
                    <a:picLocks noChangeAspect="1"/>
                  </pic:cNvPicPr>
                </pic:nvPicPr>
                <pic:blipFill>
                  <a:blip r:embed="rId1"/>
                  <a:stretch>
                    <a:fillRect/>
                  </a:stretch>
                </pic:blipFill>
                <pic:spPr>
                  <a:xfrm>
                    <a:off x="0" y="0"/>
                    <a:ext cx="1905000" cy="495300"/>
                  </a:xfrm>
                  <a:prstGeom prst="rect">
                    <a:avLst/>
                  </a:prstGeom>
                </pic:spPr>
              </pic:pic>
            </a:graphicData>
          </a:graphic>
        </wp:inline>
      </w:drawing>
    </w:r>
    <w:r>
      <w:rPr>
        <w:rFonts w:hint="eastAsia"/>
        <w:b/>
        <w:sz w:val="24"/>
        <w:szCs w:val="24"/>
      </w:rPr>
      <w:t xml:space="preserve">                  http://www.jianshe99.com 建设工程教育网</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A3F"/>
    <w:rsid w:val="000E044B"/>
    <w:rsid w:val="00121F4D"/>
    <w:rsid w:val="001A31F1"/>
    <w:rsid w:val="001C7BDF"/>
    <w:rsid w:val="00244618"/>
    <w:rsid w:val="00254E97"/>
    <w:rsid w:val="003C2AB2"/>
    <w:rsid w:val="00400A3F"/>
    <w:rsid w:val="00470CFF"/>
    <w:rsid w:val="005A47D0"/>
    <w:rsid w:val="005D0C51"/>
    <w:rsid w:val="005D111F"/>
    <w:rsid w:val="00640991"/>
    <w:rsid w:val="00727729"/>
    <w:rsid w:val="007A2E0A"/>
    <w:rsid w:val="007C2F64"/>
    <w:rsid w:val="008F13E9"/>
    <w:rsid w:val="0094146A"/>
    <w:rsid w:val="00A04C9A"/>
    <w:rsid w:val="00AD17A9"/>
    <w:rsid w:val="00C20A9D"/>
    <w:rsid w:val="00C94534"/>
    <w:rsid w:val="00CB553A"/>
    <w:rsid w:val="00E1243D"/>
    <w:rsid w:val="00EF5742"/>
    <w:rsid w:val="00F86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nhideWhenUsed/>
    <w:qFormat/>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uiPriority w:val="99"/>
    <w:rPr>
      <w:color w:val="0000FF"/>
      <w:u w:val="single"/>
    </w:rPr>
  </w:style>
  <w:style w:type="character" w:customStyle="1" w:styleId="10">
    <w:name w:val="页眉 Char"/>
    <w:basedOn w:val="6"/>
    <w:link w:val="4"/>
    <w:uiPriority w:val="99"/>
    <w:rPr>
      <w:sz w:val="18"/>
      <w:szCs w:val="18"/>
    </w:rPr>
  </w:style>
  <w:style w:type="character" w:customStyle="1" w:styleId="11">
    <w:name w:val="页脚 Char"/>
    <w:basedOn w:val="6"/>
    <w:link w:val="3"/>
    <w:uiPriority w:val="99"/>
    <w:rPr>
      <w:sz w:val="18"/>
      <w:szCs w:val="18"/>
    </w:rPr>
  </w:style>
  <w:style w:type="character" w:customStyle="1" w:styleId="12">
    <w:name w:val="批注框文本 Char"/>
    <w:basedOn w:val="6"/>
    <w:link w:val="2"/>
    <w:semiHidden/>
    <w:qFormat/>
    <w:uiPriority w:val="99"/>
    <w:rPr>
      <w:sz w:val="18"/>
      <w:szCs w:val="18"/>
    </w:rPr>
  </w:style>
  <w:style w:type="paragraph" w:customStyle="1" w:styleId="13">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hyperlink" Target="http://www.jianshe99.com/project/jianzao2/" TargetMode="Externa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376</Words>
  <Characters>2146</Characters>
  <Lines>17</Lines>
  <Paragraphs>5</Paragraphs>
  <TotalTime>0</TotalTime>
  <ScaleCrop>false</ScaleCrop>
  <LinksUpToDate>false</LinksUpToDate>
  <CharactersWithSpaces>2517</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2015-05-07T09:09:00Z</dcterms:created>
  <dc:creator>cdel</dc:creator>
  <cp:lastModifiedBy>DELL</cp:lastModifiedBy>
  <dcterms:modified xsi:type="dcterms:W3CDTF">2017-08-11T03:37:42Z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