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tLeast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rFonts w:hint="eastAsia"/>
          <w:b/>
          <w:color w:val="000000" w:themeColor="text1"/>
        </w:rPr>
        <w:t>2013年二级建造师《市政公用工程管理与实务》真题答案及解析</w:t>
      </w:r>
    </w:p>
    <w:p>
      <w:pPr>
        <w:pStyle w:val="5"/>
        <w:shd w:val="clear" w:color="auto" w:fill="FFFFFF"/>
        <w:spacing w:line="360" w:lineRule="atLeast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2013年二级建造师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"http://www.jianshe99.com/jianzao2/zhentifagui/" \o "建设工程法规及相关知识真题" \t "_blank"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市政公用工程管理与实务</w:t>
      </w:r>
      <w:r>
        <w:rPr>
          <w:rStyle w:val="8"/>
          <w:rFonts w:hint="eastAsia"/>
          <w:color w:val="000000" w:themeColor="text1"/>
          <w:u w:val="none"/>
        </w:rPr>
        <w:t>真题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答案，由建设工程教育网名师团完成，是目前网上最权威的答案！</w:t>
      </w:r>
    </w:p>
    <w:p>
      <w:pPr>
        <w:pStyle w:val="5"/>
        <w:shd w:val="clear" w:color="auto" w:fill="FFFFFF"/>
        <w:spacing w:line="360" w:lineRule="atLeast"/>
        <w:ind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【独家】答案及解析由网校老师整理而成，部分网站未经许可擅自转载、抄袭，造成内容有所缺失或错误，请大家以</w:t>
      </w:r>
      <w:r>
        <w:fldChar w:fldCharType="begin"/>
      </w:r>
      <w:r>
        <w:instrText xml:space="preserve"> HYPERLINK "http://www.jianshe99.com" \o "建设工程教育网" \t "_blank" </w:instrText>
      </w:r>
      <w:r>
        <w:fldChar w:fldCharType="separate"/>
      </w:r>
      <w:r>
        <w:rPr>
          <w:rStyle w:val="8"/>
          <w:rFonts w:hint="eastAsia"/>
          <w:color w:val="000000" w:themeColor="text1"/>
          <w:u w:val="none"/>
        </w:rPr>
        <w:t>建设工程教育网</w:t>
      </w:r>
      <w:r>
        <w:fldChar w:fldCharType="end"/>
      </w:r>
      <w:r>
        <w:rPr>
          <w:rFonts w:hint="eastAsia"/>
          <w:color w:val="000000" w:themeColor="text1"/>
        </w:rPr>
        <w:t>发布为准！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362575" cy="5572125"/>
            <wp:effectExtent l="19050" t="0" r="9525" b="0"/>
            <wp:docPr id="4" name="图片 1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4.水泥混凝土面层板厚度为200mm时，可不设胀缝的施工季节是（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A.春季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B.夏季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C.秋季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D.冬季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【答案】B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【解析】本题考查的是水泥混凝土道路的构造。除夏季施工的板，且板厚大于等于200mm时可不设胀缝外，其他季节施工的板均设胀缝，胀缝间距一般为100~200m。参见教材P20。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429250" cy="5372100"/>
            <wp:effectExtent l="19050" t="0" r="0" b="0"/>
            <wp:docPr id="2" name="图片 2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8.关于箱涵顶进施工的做法，错误的是（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A.由上向下开挖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B.不超前挖土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C.逆坡挖土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D.严禁扰动基地土壤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【答案】C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管涵施工技术要求。应在列车运行间隙时间内进行。在开挖面应设专人监护。应按照侧刃脚坡度及规定的进尺由上往下开挖，侧刃脚进土应在0.1m以上。开挖面的坡度不得大于1:0.75，并严禁逆坡挖土，不得超前挖土。严禁扰动基底土壤。挖土的进尺可根据土质确定，宜为0.5m；当土质较差时，可按千斤顶的有效行程掘进，并随挖随顶防止路基塌方。参见教材P49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381625" cy="4629150"/>
            <wp:effectExtent l="19050" t="0" r="9525" b="0"/>
            <wp:docPr id="3" name="图片 3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362575" cy="5572125"/>
            <wp:effectExtent l="19050" t="0" r="9525" b="0"/>
            <wp:docPr id="10" name="图片 18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14.关于小导管注浆的说法，错误的是（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A.在软弱、破碎地层中凿孔后易塌孔时，必须采取超前小导管支护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B.超前小导管必须配合钢拱架使用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C.在条件允许时，可以在地面进行超前注浆加固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D.在有导洞时，可以在导洞内对隧道周边进行径向注浆加固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【答案】A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【解析】本题考查的是小导管注浆加固土体技术。在软弱、破碎地层中凿孔后易塌孔，且施作超前锚杆比较困难或者结构断面较大时，应采取超前小导管支护。参见教材P76。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324475" cy="5334000"/>
            <wp:effectExtent l="19050" t="0" r="9525" b="0"/>
            <wp:docPr id="9" name="图片 19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400675" cy="5600700"/>
            <wp:effectExtent l="19050" t="0" r="9525" b="0"/>
            <wp:docPr id="5" name="图片 20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0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400675" cy="6143625"/>
            <wp:effectExtent l="19050" t="0" r="9525" b="0"/>
            <wp:docPr id="35" name="图片 35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24.关于钻孔灌注桩护筒埋设的说法，正确的有（　）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A.平面位置应准确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B.垂直偏差应符合要求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C.护筒内径与桩径一致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D.护筒埋设深度应大于5m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E.可采用钢炉筒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【答案】ABE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【解析】本题考查的是钻孔灌注桩施工技术要求。参见教材P32。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381625" cy="6934200"/>
            <wp:effectExtent l="19050" t="0" r="9525" b="0"/>
            <wp:docPr id="36" name="图片 36" descr="2013年二级建造师考试《市政公用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2013年二级建造师考试《市政公用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　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29.无盖混凝土水池满水试验程序中应有（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A.水位观测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B.水位测定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C.蒸发量测定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D.水质质检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E.</w:t>
      </w:r>
      <w:r>
        <w:fldChar w:fldCharType="begin"/>
      </w:r>
      <w:r>
        <w:instrText xml:space="preserve"> HYPERLINK "http://www.jianshe99.com/web/zhidao/" \t "_blank" \o "资料" </w:instrText>
      </w:r>
      <w:r>
        <w:fldChar w:fldCharType="separate"/>
      </w:r>
      <w:r>
        <w:rPr>
          <w:rStyle w:val="8"/>
          <w:color w:val="551A8B"/>
          <w:sz w:val="21"/>
          <w:szCs w:val="21"/>
        </w:rPr>
        <w:t>资料</w:t>
      </w:r>
      <w:r>
        <w:rPr>
          <w:rStyle w:val="8"/>
          <w:color w:val="551A8B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整理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【答案】ACE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【解析】本题考查的是构筑物满水试验的规定。满水试验的程序：实验准备→水池注水→水池内水位观测→蒸发量测定→有关资料整理。参见教材P91。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30.用作园林假山的石料，表面必须（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A.无损伤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B.无孔洞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C.无裂痕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D.无剥落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E.无皱波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【答案】ACD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【解析】本题考查的是园林假山工程施工要求。假山选用的石料必须坚实、无损伤、无裂痕，表面无剥落。参见教材P142。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</w:p>
  <w:p>
    <w:pPr>
      <w:pStyle w:val="3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 xml:space="preserve">报名咨询电话：010-82326699　   　免费热线：400 810 5999     </w:t>
    </w:r>
  </w:p>
  <w:p>
    <w:pPr>
      <w:pStyle w:val="3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>了解更多考试动态，复习资料，历年真题等相关信息，关注二建官方微信：</w:t>
    </w:r>
    <w:r>
      <w:rPr>
        <w:rFonts w:hint="eastAsia"/>
        <w:b/>
        <w:color w:val="FF0000"/>
        <w:sz w:val="21"/>
        <w:szCs w:val="21"/>
      </w:rPr>
      <w:t>jianzao2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905000" cy="495300"/>
          <wp:effectExtent l="19050" t="0" r="0" b="0"/>
          <wp:docPr id="1" name="图片 0" descr="logo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标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sz w:val="24"/>
        <w:szCs w:val="24"/>
      </w:rPr>
      <w:t xml:space="preserve">                  http://www.jianshe99.com 建设工程教育网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F"/>
    <w:rsid w:val="000E7444"/>
    <w:rsid w:val="00121F4D"/>
    <w:rsid w:val="00144081"/>
    <w:rsid w:val="001A31F1"/>
    <w:rsid w:val="001C7BDF"/>
    <w:rsid w:val="00203CAC"/>
    <w:rsid w:val="00244618"/>
    <w:rsid w:val="00250AE3"/>
    <w:rsid w:val="00254E97"/>
    <w:rsid w:val="003C2AB2"/>
    <w:rsid w:val="00400A3F"/>
    <w:rsid w:val="00547545"/>
    <w:rsid w:val="005A47D0"/>
    <w:rsid w:val="005C7664"/>
    <w:rsid w:val="005D111F"/>
    <w:rsid w:val="006279EE"/>
    <w:rsid w:val="00640991"/>
    <w:rsid w:val="007030AF"/>
    <w:rsid w:val="00717CC5"/>
    <w:rsid w:val="00727729"/>
    <w:rsid w:val="007A2E0A"/>
    <w:rsid w:val="007B4D62"/>
    <w:rsid w:val="007C1B8F"/>
    <w:rsid w:val="008F13E9"/>
    <w:rsid w:val="00953CA8"/>
    <w:rsid w:val="009C1DB7"/>
    <w:rsid w:val="00A04C9A"/>
    <w:rsid w:val="00A44AA1"/>
    <w:rsid w:val="00AA1EF3"/>
    <w:rsid w:val="00AD17A9"/>
    <w:rsid w:val="00C94534"/>
    <w:rsid w:val="00D2748D"/>
    <w:rsid w:val="00E1243D"/>
    <w:rsid w:val="00E66E60"/>
    <w:rsid w:val="00E7489C"/>
    <w:rsid w:val="00EF5742"/>
    <w:rsid w:val="00F86458"/>
    <w:rsid w:val="00FF4872"/>
    <w:rsid w:val="00FF6831"/>
    <w:rsid w:val="50B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221</Words>
  <Characters>1263</Characters>
  <Lines>10</Lines>
  <Paragraphs>2</Paragraphs>
  <TotalTime>0</TotalTime>
  <ScaleCrop>false</ScaleCrop>
  <LinksUpToDate>false</LinksUpToDate>
  <CharactersWithSpaces>1482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2015-05-07T08:56:00Z</dcterms:created>
  <dc:creator>cdel</dc:creator>
  <cp:lastModifiedBy>DELL</cp:lastModifiedBy>
  <dcterms:modified xsi:type="dcterms:W3CDTF">2017-08-11T03:48:57Z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